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bidi w:val="1"/>
        <w:spacing w:after="200" w:before="0" w:line="276" w:lineRule="auto"/>
        <w:jc w:val="center"/>
        <w:rPr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דילמה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אימוץ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כלב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לעומת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קנייה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כלב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רטריבר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ולשמחתן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שמתנדבת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מחויבות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רטריבר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מבוקש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כגזע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והבטיחה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מכלבייה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רטריבר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גזעי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- 2) 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רטריבר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- 5) 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מכלבייה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91380</wp:posOffset>
            </wp:positionV>
            <wp:extent cx="3006593" cy="2254945"/>
            <wp:effectExtent b="0" l="0" r="0" t="0"/>
            <wp:wrapSquare wrapText="bothSides" distB="0" distT="0" distL="0" distR="0"/>
            <wp:docPr id="1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6593" cy="2254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ביטויים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לחיפוש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באינטרנט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שיכולים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לעזור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בכלביות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כלב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לרכוש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גזעי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וסירוס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שאלות</w:t>
      </w:r>
      <w:r w:rsidDel="00000000" w:rsidR="00000000" w:rsidRPr="00000000">
        <w:rPr>
          <w:u w:val="single"/>
          <w:rtl w:val="1"/>
        </w:rPr>
        <w:t xml:space="preserve">/</w:t>
      </w:r>
      <w:r w:rsidDel="00000000" w:rsidR="00000000" w:rsidRPr="00000000">
        <w:rPr>
          <w:u w:val="single"/>
          <w:rtl w:val="1"/>
        </w:rPr>
        <w:t xml:space="preserve">הנחיות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לבניית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הטיעונים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נסחו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עמדותיכם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בנוגע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לסוגיות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הבאות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והחסרונות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בקניית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והחסרונות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באימוץ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לאמץ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מכלביות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ישנן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דרכים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מלכתחילה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הגעה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כלבים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לכלביות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דילמה</w:t>
      </w: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הבחירות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בסופרמרקט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משפיעות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לקמפינג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בכנרת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האוטובוס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הנערים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היגיינה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לחופשה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שהסתובבו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הנערים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שחיפש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הארנב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שהמוצרים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לסופרמרקט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במרחק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בתגובה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להעדיף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ימשיכו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לחסוך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הארנב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הארנב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- 2).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- 5).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-619124</wp:posOffset>
            </wp:positionH>
            <wp:positionV relativeFrom="paragraph">
              <wp:posOffset>19050</wp:posOffset>
            </wp:positionV>
            <wp:extent cx="2927537" cy="2194099"/>
            <wp:effectExtent b="0" l="0" r="0" t="0"/>
            <wp:wrapSquare wrapText="bothSides" distB="0" distT="0" distL="0" distR="0"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7537" cy="21940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u w:val="single"/>
          <w:rtl w:val="1"/>
        </w:rPr>
        <w:t xml:space="preserve">ביטויים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לחיפוש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באינטרנט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שיכולים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לעזור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הארנב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צרכנים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צרכנים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שאלות</w:t>
      </w:r>
      <w:r w:rsidDel="00000000" w:rsidR="00000000" w:rsidRPr="00000000">
        <w:rPr>
          <w:u w:val="single"/>
          <w:rtl w:val="1"/>
        </w:rPr>
        <w:t xml:space="preserve">/</w:t>
      </w:r>
      <w:r w:rsidDel="00000000" w:rsidR="00000000" w:rsidRPr="00000000">
        <w:rPr>
          <w:u w:val="single"/>
          <w:rtl w:val="1"/>
        </w:rPr>
        <w:t xml:space="preserve">הנחיות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לבניית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הטיעונים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נסחו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עמדותיכם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בנוגע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לסוגיות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הבאות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לניסויים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לבדיקת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קוסמטיקה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והיגיינה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צרכנים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יצליח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שהבחירות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בסופרמרקט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ישקפו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דילמה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בנושאים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בפרסום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ומוסר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בפרסום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בפרסומת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לקרטוני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אצלנו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התרנגולות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", </w:t>
      </w:r>
      <w:r w:rsidDel="00000000" w:rsidR="00000000" w:rsidRPr="00000000">
        <w:rPr>
          <w:rtl w:val="1"/>
        </w:rPr>
        <w:t xml:space="preserve">וקבוצת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שהתרנגולות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התרנגולות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שהתרנגולות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תרנגולות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התרנגולות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לטענתם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התרנגולות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- 2)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- 5) 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-609599</wp:posOffset>
            </wp:positionH>
            <wp:positionV relativeFrom="paragraph">
              <wp:posOffset>624780</wp:posOffset>
            </wp:positionV>
            <wp:extent cx="3042373" cy="2276996"/>
            <wp:effectExtent b="0" l="0" r="0" t="0"/>
            <wp:wrapSquare wrapText="bothSides" distB="0" distT="0" distL="0" distR="0"/>
            <wp:docPr id="2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2373" cy="22769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ביטויים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לחיפוש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באינטרנט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שיכולים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לעזור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תעשיית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הביצים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הצרכן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שאלות</w:t>
      </w:r>
      <w:r w:rsidDel="00000000" w:rsidR="00000000" w:rsidRPr="00000000">
        <w:rPr>
          <w:u w:val="single"/>
          <w:rtl w:val="1"/>
        </w:rPr>
        <w:t xml:space="preserve">/</w:t>
      </w:r>
      <w:r w:rsidDel="00000000" w:rsidR="00000000" w:rsidRPr="00000000">
        <w:rPr>
          <w:u w:val="single"/>
          <w:rtl w:val="1"/>
        </w:rPr>
        <w:t xml:space="preserve">הנחיות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לבניית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הטיעונים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נסחו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עמדותיכם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בנוגע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לסוגיות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הבאות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מגודלות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התרנגולות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בתעשיית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הביצים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חביתת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מקפידים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בפרסום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דילמה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בנושאים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שיימינג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הוקעה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פומבית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אחראית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חופש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העיסוק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והפרנסה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שמירה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רווחת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בטיול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בקיבוץ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כשהסתובבו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בקיבוץ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והתקרבו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געיות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להבחין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וכשהגיעו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כששאלו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הרפתות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העגלים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הפלאפון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הההפרדה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כשהתרחקו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הסרטון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לפייסבוק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יידעו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שבקיבוץ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עגלים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מהאמהות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פרסום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הסרטון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בפרנסה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הקיבוץ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לפרסם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- 2) 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- 5) 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שמתנגדים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ביטויים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לחיפוש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באינטרנט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שיכולים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לעזור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-542924</wp:posOffset>
            </wp:positionH>
            <wp:positionV relativeFrom="paragraph">
              <wp:posOffset>52908</wp:posOffset>
            </wp:positionV>
            <wp:extent cx="2987347" cy="2242319"/>
            <wp:effectExtent b="0" l="0" r="0" t="0"/>
            <wp:wrapSquare wrapText="bothSides" distB="0" distT="0" distL="0" distR="0"/>
            <wp:docPr id="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7347" cy="22423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עגלים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בתעשיית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רפתות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החלב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שיימינג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שיימינג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חיובי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העיסוק</w:t>
      </w:r>
    </w:p>
    <w:p w:rsidR="00000000" w:rsidDel="00000000" w:rsidP="00000000" w:rsidRDefault="00000000" w:rsidRPr="00000000" w14:paraId="00000040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שאלות</w:t>
      </w:r>
      <w:r w:rsidDel="00000000" w:rsidR="00000000" w:rsidRPr="00000000">
        <w:rPr>
          <w:u w:val="single"/>
          <w:rtl w:val="1"/>
        </w:rPr>
        <w:t xml:space="preserve">/</w:t>
      </w:r>
      <w:r w:rsidDel="00000000" w:rsidR="00000000" w:rsidRPr="00000000">
        <w:rPr>
          <w:u w:val="single"/>
          <w:rtl w:val="1"/>
        </w:rPr>
        <w:t xml:space="preserve">הנחיות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לבניית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הטיעונים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נסחו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עמדותיכם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בנוגע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לסוגיות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הבאות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לעגלים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בתעשיית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שיימינג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שלעיתים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שיימינג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תופעה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בהפסקתה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דילמה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בנושאים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מחמד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משק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1"/>
        </w:rPr>
        <w:t xml:space="preserve">"?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מבוסס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שדווח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בעיתונות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התפרסם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בתקשורת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שעבדה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הדולפינים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הכשירה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כמתנדב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במישהו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וכשהתקרבו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הופתעו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הנקבה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הצאצאית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הזעיקה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הצליחו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ולחלץ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לוטרינר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הוטרינר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שהטליה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מאוסטרליה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שמייבאת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לתעשיית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ושייתכן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שנפלה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שהושלכה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מהספינה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שהוטרינר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שהטליה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מהיבואן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בקיבוץ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מאביו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להמשיך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שבביתם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ושגידול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בהוצאות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שיכבידו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- 2) 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- 5) </w:t>
      </w:r>
      <w:r w:rsidDel="00000000" w:rsidR="00000000" w:rsidRPr="00000000">
        <w:rPr>
          <w:rtl w:val="1"/>
        </w:rPr>
        <w:t xml:space="preserve">תייצג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שמעוניין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הטליה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ביטויים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לחיפוש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באינטרנט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שיכולים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לעזור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-1000124</wp:posOffset>
            </wp:positionH>
            <wp:positionV relativeFrom="paragraph">
              <wp:posOffset>240953</wp:posOffset>
            </wp:positionV>
            <wp:extent cx="2886758" cy="2166851"/>
            <wp:effectExtent b="0" l="0" r="0" t="0"/>
            <wp:wrapSquare wrapText="bothSides" distB="0" distT="0" distL="0" distR="0"/>
            <wp:docPr id="1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758" cy="2166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מחמד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למכירה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חכמות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בתעשיית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והבשר</w:t>
      </w:r>
    </w:p>
    <w:p w:rsidR="00000000" w:rsidDel="00000000" w:rsidP="00000000" w:rsidRDefault="00000000" w:rsidRPr="00000000" w14:paraId="00000052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שאלות</w:t>
      </w:r>
      <w:r w:rsidDel="00000000" w:rsidR="00000000" w:rsidRPr="00000000">
        <w:rPr>
          <w:u w:val="single"/>
          <w:rtl w:val="1"/>
        </w:rPr>
        <w:t xml:space="preserve">/</w:t>
      </w:r>
      <w:r w:rsidDel="00000000" w:rsidR="00000000" w:rsidRPr="00000000">
        <w:rPr>
          <w:u w:val="single"/>
          <w:rtl w:val="1"/>
        </w:rPr>
        <w:t xml:space="preserve">הנחיות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לבניית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הטיעונים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נסחו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עמדותיכם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בנוגע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לסוגיות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הבאות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שמגדירות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המגדירות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55">
      <w:pPr>
        <w:shd w:fill="auto" w:val="clear"/>
        <w:spacing w:after="200" w:before="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jc w:val="center"/>
        <w:rPr>
          <w:rFonts w:ascii="Arial" w:cs="Arial" w:eastAsia="Arial" w:hAnsi="Arial"/>
          <w:b w:val="1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8"/>
          <w:szCs w:val="28"/>
          <w:u w:val="single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8"/>
          <w:szCs w:val="28"/>
          <w:u w:val="single"/>
          <w:rtl w:val="1"/>
        </w:rPr>
        <w:t xml:space="preserve">הכנה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8"/>
          <w:szCs w:val="28"/>
          <w:u w:val="single"/>
          <w:rtl w:val="1"/>
        </w:rPr>
        <w:t xml:space="preserve">לדיבייט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8"/>
          <w:szCs w:val="28"/>
          <w:u w:val="singl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b050"/>
          <w:sz w:val="28"/>
          <w:szCs w:val="28"/>
          <w:u w:val="single"/>
          <w:rtl w:val="1"/>
        </w:rPr>
        <w:t xml:space="preserve">שלבי</w:t>
      </w:r>
      <w:r w:rsidDel="00000000" w:rsidR="00000000" w:rsidRPr="00000000">
        <w:rPr>
          <w:rFonts w:ascii="Arial" w:cs="Arial" w:eastAsia="Arial" w:hAnsi="Arial"/>
          <w:color w:val="00b05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b050"/>
          <w:sz w:val="28"/>
          <w:szCs w:val="28"/>
          <w:u w:val="single"/>
          <w:rtl w:val="1"/>
        </w:rPr>
        <w:t xml:space="preserve">בניית</w:t>
      </w:r>
      <w:r w:rsidDel="00000000" w:rsidR="00000000" w:rsidRPr="00000000">
        <w:rPr>
          <w:rFonts w:ascii="Arial" w:cs="Arial" w:eastAsia="Arial" w:hAnsi="Arial"/>
          <w:color w:val="00b05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b050"/>
          <w:sz w:val="28"/>
          <w:szCs w:val="28"/>
          <w:u w:val="single"/>
          <w:rtl w:val="1"/>
        </w:rPr>
        <w:t xml:space="preserve">טיעון</w:t>
      </w:r>
      <w:r w:rsidDel="00000000" w:rsidR="00000000" w:rsidRPr="00000000">
        <w:rPr>
          <w:rFonts w:ascii="Arial" w:cs="Arial" w:eastAsia="Arial" w:hAnsi="Arial"/>
          <w:color w:val="00b050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auto" w:val="clear"/>
        <w:bidi w:val="1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כותרת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הטענה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120" w:line="360" w:lineRule="auto"/>
        <w:ind w:left="64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בישול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64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רציונל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364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משותפת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!)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יצטרכו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לבשל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להקנות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לתלמידים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כישורים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שיעזרו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להסתדר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36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צעדים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קטנים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ובצעדים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36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מסקנה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המתבקשת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בישול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!)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גיבוי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!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קהלים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מושפעים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36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שהקהל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משכיל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מדעיות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מחקרים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וסטטיסטיקות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מחקרים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שמבוגרים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שלמדו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בישול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עצמאיים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ממבוגרים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36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שהקהל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משכיל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136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בישול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עבדו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שיבשל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התחיל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לבשל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מסעדה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והיום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מסעדות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בישול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0" w:before="0" w:line="360" w:lineRule="auto"/>
        <w:ind w:left="13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bidi w:val="1"/>
        <w:spacing w:after="120" w:before="0" w:line="360" w:lineRule="auto"/>
        <w:ind w:left="13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נורמטיבי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מהטיעונים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המתנגדים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להכין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שכבה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מיומניות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שיעזרו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להסתדר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תעזור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להרבה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נערים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מתמטיקה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auto" w:val="clear"/>
        <w:bidi w:val="1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סיכום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rtl w:val="1"/>
        </w:rPr>
        <w:t xml:space="preserve">חזרה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התחתונה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rtl w:val="1"/>
        </w:rPr>
        <w:t xml:space="preserve">הטענה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sectPr>
      <w:footerReference r:id="rId12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efefe" w:val="clear"/>
      <w:tabs>
        <w:tab w:val="center" w:pos="4153"/>
        <w:tab w:val="right" w:pos="8306"/>
      </w:tabs>
      <w:bidi w:val="1"/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efefe" w:val="clear"/>
      <w:tabs>
        <w:tab w:val="center" w:pos="4153"/>
        <w:tab w:val="right" w:pos="8306"/>
      </w:tabs>
      <w:bidi w:val="1"/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bidi w:val="1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←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←"/>
      <w:lvlJc w:val="left"/>
      <w:pPr>
        <w:ind w:left="136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←"/>
      <w:lvlJc w:val="left"/>
      <w:pPr>
        <w:ind w:left="136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←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hd w:fill="fefefe" w:val="clear"/>
        <w:bidi w:val="1"/>
        <w:spacing w:after="120" w:before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60" w:before="240" w:line="240" w:lineRule="auto"/>
      <w:jc w:val="center"/>
    </w:pPr>
    <w:rPr>
      <w:rFonts w:ascii="Arial" w:cs="Arial" w:eastAsia="Arial" w:hAnsi="Arial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7C1F"/>
    <w:pPr>
      <w:shd w:color="auto" w:fill="fefefe" w:val="clear"/>
      <w:bidi w:val="1"/>
      <w:spacing w:after="120" w:before="120" w:line="360" w:lineRule="auto"/>
    </w:pPr>
    <w:rPr>
      <w:rFonts w:eastAsia="Times New Roman" w:asciiTheme="majorBidi" w:cstheme="majorBidi" w:hAnsi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AF38EA"/>
    <w:pPr>
      <w:widowControl w:val="0"/>
      <w:autoSpaceDE w:val="0"/>
      <w:autoSpaceDN w:val="0"/>
      <w:adjustRightInd w:val="0"/>
      <w:spacing w:after="60" w:before="240" w:line="240" w:lineRule="auto"/>
      <w:jc w:val="center"/>
      <w:outlineLvl w:val="0"/>
    </w:pPr>
    <w:rPr>
      <w:rFonts w:ascii="Arial" w:cs="Arial" w:hAnsi="Arial" w:eastAsiaTheme="minorEastAsia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 w:val="1"/>
    <w:rsid w:val="00AF38EA"/>
    <w:pPr>
      <w:keepNext w:val="1"/>
      <w:spacing w:after="0" w:line="240" w:lineRule="auto"/>
      <w:jc w:val="center"/>
      <w:outlineLvl w:val="5"/>
    </w:pPr>
    <w:rPr>
      <w:rFonts w:ascii="Arial" w:cs="Times New Roman" w:hAnsi="Arial"/>
      <w:b w:val="1"/>
      <w:bCs w:val="1"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 w:val="1"/>
    <w:rsid w:val="00AF38EA"/>
    <w:pPr>
      <w:keepNext w:val="1"/>
      <w:spacing w:after="0" w:line="240" w:lineRule="auto"/>
      <w:outlineLvl w:val="7"/>
    </w:pPr>
    <w:rPr>
      <w:rFonts w:ascii="Times New Roman" w:cs="Times New Roman" w:hAnsi="Times New Roman"/>
      <w:b w:val="1"/>
      <w:bCs w:val="1"/>
      <w:color w:val="ff0000"/>
      <w:sz w:val="20"/>
      <w:szCs w:val="20"/>
      <w:lang w:eastAsia="he-IL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24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2409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FA35F1"/>
    <w:pPr>
      <w:bidi w:val="0"/>
      <w:spacing w:after="100" w:afterAutospacing="1" w:before="100" w:beforeAutospacing="1" w:line="240" w:lineRule="auto"/>
    </w:pPr>
    <w:rPr>
      <w:rFonts w:ascii="Times New Roman" w:cs="Times New Roman" w:hAnsi="Times New Roman"/>
    </w:rPr>
  </w:style>
  <w:style w:type="character" w:styleId="apple-converted-space" w:customStyle="1">
    <w:name w:val="apple-converted-space"/>
    <w:basedOn w:val="DefaultParagraphFont"/>
    <w:rsid w:val="00FA35F1"/>
  </w:style>
  <w:style w:type="character" w:styleId="Hyperlink">
    <w:name w:val="Hyperlink"/>
    <w:basedOn w:val="DefaultParagraphFont"/>
    <w:uiPriority w:val="99"/>
    <w:unhideWhenUsed w:val="1"/>
    <w:rsid w:val="00FA35F1"/>
    <w:rPr>
      <w:color w:val="0000ff"/>
      <w:u w:val="single"/>
    </w:rPr>
  </w:style>
  <w:style w:type="table" w:styleId="TableGrid">
    <w:name w:val="Table Grid"/>
    <w:basedOn w:val="TableNormal"/>
    <w:uiPriority w:val="59"/>
    <w:rsid w:val="00B568D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0D275F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9"/>
    <w:rsid w:val="00AF38EA"/>
    <w:rPr>
      <w:rFonts w:ascii="Arial" w:cs="Arial" w:hAnsi="Arial" w:eastAsiaTheme="minorEastAsia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9"/>
    <w:rsid w:val="00AF38EA"/>
    <w:rPr>
      <w:rFonts w:ascii="Arial" w:cs="Times New Roman" w:eastAsia="Times New Roman" w:hAnsi="Arial"/>
      <w:b w:val="1"/>
      <w:bCs w:val="1"/>
      <w:sz w:val="20"/>
      <w:szCs w:val="20"/>
      <w:lang w:eastAsia="he-IL"/>
    </w:rPr>
  </w:style>
  <w:style w:type="character" w:styleId="Heading8Char" w:customStyle="1">
    <w:name w:val="Heading 8 Char"/>
    <w:basedOn w:val="DefaultParagraphFont"/>
    <w:link w:val="Heading8"/>
    <w:uiPriority w:val="99"/>
    <w:rsid w:val="00AF38EA"/>
    <w:rPr>
      <w:rFonts w:ascii="Times New Roman" w:cs="Times New Roman" w:eastAsia="Times New Roman" w:hAnsi="Times New Roman"/>
      <w:b w:val="1"/>
      <w:bCs w:val="1"/>
      <w:color w:val="ff0000"/>
      <w:sz w:val="20"/>
      <w:szCs w:val="20"/>
      <w:lang w:eastAsia="he-IL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450730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50730"/>
  </w:style>
  <w:style w:type="paragraph" w:styleId="Footer">
    <w:name w:val="footer"/>
    <w:basedOn w:val="Normal"/>
    <w:link w:val="FooterChar"/>
    <w:uiPriority w:val="99"/>
    <w:unhideWhenUsed w:val="1"/>
    <w:rsid w:val="00450730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0730"/>
  </w:style>
  <w:style w:type="paragraph" w:styleId="NoSpacing">
    <w:name w:val="No Spacing"/>
    <w:basedOn w:val="Normal"/>
    <w:uiPriority w:val="1"/>
    <w:qFormat w:val="1"/>
    <w:rsid w:val="001F7C1F"/>
    <w:rPr>
      <w:rFonts w:eastAsiaTheme="majorEastAsia"/>
      <w:b w:val="1"/>
      <w:bCs w:val="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A6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A695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A6950"/>
    <w:rPr>
      <w:rFonts w:eastAsia="Times New Roman" w:asciiTheme="majorBidi" w:cstheme="majorBidi" w:hAnsiTheme="majorBidi"/>
      <w:sz w:val="20"/>
      <w:szCs w:val="20"/>
      <w:shd w:color="auto" w:fill="fefefe" w:val="cle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A695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A6950"/>
    <w:rPr>
      <w:rFonts w:eastAsia="Times New Roman" w:asciiTheme="majorBidi" w:cstheme="majorBidi" w:hAnsiTheme="majorBidi"/>
      <w:b w:val="1"/>
      <w:bCs w:val="1"/>
      <w:sz w:val="20"/>
      <w:szCs w:val="20"/>
      <w:shd w:color="auto" w:fill="fefefe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629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2.jpg"/><Relationship Id="rId12" Type="http://schemas.openxmlformats.org/officeDocument/2006/relationships/footer" Target="foot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r4YRMuW4UeLS0pvzZkLiLmuag==">AMUW2mWgg/t3bVMm+V/sJA3+1+ut4zIkGImysdsxsUF1yS9fdm6WPnF/B7O/64WSZKfoe316RGUSb1+E68XM+QF57PGPvhLUAUpjonXjiT79UvM9oqOXdbvEvoMUuQ3GWJRKIA350yuJ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2020-11-11T05:59:00Z</dcterms:created>
  <dc:creator>Windows User</dc:creator>
</cp:coreProperties>
</file>